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DFC2C9" w14:textId="412166F2" w:rsidR="006917DF" w:rsidRPr="00442790" w:rsidRDefault="00442790" w:rsidP="00442790">
      <w:pPr>
        <w:spacing w:after="0"/>
        <w:jc w:val="center"/>
        <w:rPr>
          <w:b/>
          <w:bCs/>
          <w:sz w:val="28"/>
          <w:szCs w:val="28"/>
        </w:rPr>
      </w:pPr>
      <w:bookmarkStart w:id="0" w:name="_GoBack"/>
      <w:bookmarkEnd w:id="0"/>
      <w:r w:rsidRPr="00442790">
        <w:rPr>
          <w:b/>
          <w:bCs/>
          <w:sz w:val="28"/>
          <w:szCs w:val="28"/>
        </w:rPr>
        <w:t>RESUME ETUDE PREALABLE A L’AMENAGEMENT DES ATELIERS DE TR</w:t>
      </w:r>
      <w:r w:rsidR="00FF446F">
        <w:rPr>
          <w:b/>
          <w:bCs/>
          <w:sz w:val="28"/>
          <w:szCs w:val="28"/>
        </w:rPr>
        <w:t>A</w:t>
      </w:r>
      <w:r w:rsidRPr="00442790">
        <w:rPr>
          <w:b/>
          <w:bCs/>
          <w:sz w:val="28"/>
          <w:szCs w:val="28"/>
        </w:rPr>
        <w:t>ITEMENT DE SURFACE ET DE TRAITEMENT DES EFFLUENTS</w:t>
      </w:r>
    </w:p>
    <w:p w14:paraId="1CA673C0" w14:textId="38B346AC" w:rsidR="00442790" w:rsidRPr="00442790" w:rsidRDefault="00442790" w:rsidP="00442790">
      <w:pPr>
        <w:spacing w:after="0"/>
        <w:rPr>
          <w:sz w:val="24"/>
          <w:szCs w:val="24"/>
        </w:rPr>
      </w:pPr>
    </w:p>
    <w:p w14:paraId="50AAF79F" w14:textId="0F6C5543" w:rsidR="00442790" w:rsidRDefault="00442790" w:rsidP="007459A1">
      <w:pPr>
        <w:spacing w:after="0"/>
        <w:jc w:val="both"/>
        <w:rPr>
          <w:sz w:val="24"/>
          <w:szCs w:val="24"/>
        </w:rPr>
      </w:pPr>
      <w:r>
        <w:rPr>
          <w:sz w:val="24"/>
          <w:szCs w:val="24"/>
        </w:rPr>
        <w:t>L’étude réalisée par le CETIM entre septembre 2019 et juillet 2020 a permis d’appréhender les thèmes suivants :</w:t>
      </w:r>
    </w:p>
    <w:p w14:paraId="4A0FAF99" w14:textId="64DD16E5" w:rsidR="00442790" w:rsidRDefault="00442790" w:rsidP="007459A1">
      <w:pPr>
        <w:pStyle w:val="Paragraphedeliste"/>
        <w:numPr>
          <w:ilvl w:val="0"/>
          <w:numId w:val="1"/>
        </w:numPr>
        <w:spacing w:after="0"/>
        <w:jc w:val="both"/>
        <w:rPr>
          <w:sz w:val="24"/>
          <w:szCs w:val="24"/>
        </w:rPr>
      </w:pPr>
      <w:r>
        <w:rPr>
          <w:sz w:val="24"/>
          <w:szCs w:val="24"/>
        </w:rPr>
        <w:t>Analyse de la situation actuelle au niveau des lignes de production (nombre, structure et qualité des rinçages, volume des rejets, et analyses..),</w:t>
      </w:r>
    </w:p>
    <w:p w14:paraId="5EC2F866" w14:textId="16AF55CE" w:rsidR="00442790" w:rsidRDefault="00442790" w:rsidP="007459A1">
      <w:pPr>
        <w:pStyle w:val="Paragraphedeliste"/>
        <w:numPr>
          <w:ilvl w:val="0"/>
          <w:numId w:val="1"/>
        </w:numPr>
        <w:spacing w:after="0"/>
        <w:jc w:val="both"/>
        <w:rPr>
          <w:sz w:val="24"/>
          <w:szCs w:val="24"/>
        </w:rPr>
      </w:pPr>
      <w:r>
        <w:rPr>
          <w:sz w:val="24"/>
          <w:szCs w:val="24"/>
        </w:rPr>
        <w:t>Analyse de la situation actuelle au niveau du traitement des effluents (flux entrants, réseaux de collecte</w:t>
      </w:r>
      <w:r w:rsidR="00DF32EF">
        <w:rPr>
          <w:sz w:val="24"/>
          <w:szCs w:val="24"/>
        </w:rPr>
        <w:t>,</w:t>
      </w:r>
      <w:r>
        <w:rPr>
          <w:sz w:val="24"/>
          <w:szCs w:val="24"/>
        </w:rPr>
        <w:t xml:space="preserve"> ouvrage épuratoire..)</w:t>
      </w:r>
    </w:p>
    <w:p w14:paraId="0FD10B03" w14:textId="459FCC54" w:rsidR="00442790" w:rsidRDefault="00442790" w:rsidP="007459A1">
      <w:pPr>
        <w:pStyle w:val="Paragraphedeliste"/>
        <w:numPr>
          <w:ilvl w:val="0"/>
          <w:numId w:val="1"/>
        </w:numPr>
        <w:spacing w:after="0"/>
        <w:jc w:val="both"/>
        <w:rPr>
          <w:sz w:val="24"/>
          <w:szCs w:val="24"/>
        </w:rPr>
      </w:pPr>
      <w:r>
        <w:rPr>
          <w:sz w:val="24"/>
          <w:szCs w:val="24"/>
        </w:rPr>
        <w:t xml:space="preserve">Analyse des résultats d’autocontrôle pour déterminer les points de vigilance et d’amélioration, </w:t>
      </w:r>
    </w:p>
    <w:p w14:paraId="125E4593" w14:textId="1BB45004" w:rsidR="00442790" w:rsidRDefault="00442790" w:rsidP="007459A1">
      <w:pPr>
        <w:pStyle w:val="Paragraphedeliste"/>
        <w:numPr>
          <w:ilvl w:val="0"/>
          <w:numId w:val="1"/>
        </w:numPr>
        <w:spacing w:after="0"/>
        <w:jc w:val="both"/>
        <w:rPr>
          <w:sz w:val="24"/>
          <w:szCs w:val="24"/>
        </w:rPr>
      </w:pPr>
      <w:r>
        <w:rPr>
          <w:sz w:val="24"/>
          <w:szCs w:val="24"/>
        </w:rPr>
        <w:t xml:space="preserve">Recherches de solutions existantes pour aménagement à la source avec étude de l’aspect économique, </w:t>
      </w:r>
    </w:p>
    <w:p w14:paraId="05584D96" w14:textId="730F2001" w:rsidR="00442790" w:rsidRDefault="00442790" w:rsidP="007459A1">
      <w:pPr>
        <w:pStyle w:val="Paragraphedeliste"/>
        <w:numPr>
          <w:ilvl w:val="0"/>
          <w:numId w:val="1"/>
        </w:numPr>
        <w:spacing w:after="0"/>
        <w:jc w:val="both"/>
        <w:rPr>
          <w:sz w:val="24"/>
          <w:szCs w:val="24"/>
        </w:rPr>
      </w:pPr>
      <w:r>
        <w:rPr>
          <w:sz w:val="24"/>
          <w:szCs w:val="24"/>
        </w:rPr>
        <w:t xml:space="preserve">Recherche de solutions d’aménagement de l’ouvrage épuratoire avec étude de l’impact économique. </w:t>
      </w:r>
    </w:p>
    <w:p w14:paraId="264BBBDA" w14:textId="6F4CE651" w:rsidR="00442790" w:rsidRDefault="00442790" w:rsidP="007459A1">
      <w:pPr>
        <w:spacing w:after="0"/>
        <w:jc w:val="both"/>
        <w:rPr>
          <w:sz w:val="24"/>
          <w:szCs w:val="24"/>
        </w:rPr>
      </w:pPr>
    </w:p>
    <w:p w14:paraId="742C9E4B" w14:textId="214A6E37" w:rsidR="00442790" w:rsidRPr="00442790" w:rsidRDefault="00442790" w:rsidP="007459A1">
      <w:pPr>
        <w:spacing w:after="0"/>
        <w:jc w:val="both"/>
        <w:rPr>
          <w:b/>
          <w:bCs/>
          <w:sz w:val="24"/>
          <w:szCs w:val="24"/>
          <w:u w:val="single"/>
        </w:rPr>
      </w:pPr>
      <w:r w:rsidRPr="00442790">
        <w:rPr>
          <w:b/>
          <w:bCs/>
          <w:sz w:val="24"/>
          <w:szCs w:val="24"/>
          <w:u w:val="single"/>
        </w:rPr>
        <w:t>Analyse de la situation actuelle au niveau des lignes de production :</w:t>
      </w:r>
    </w:p>
    <w:p w14:paraId="3F4BBE2C" w14:textId="3F7303EE" w:rsidR="00442790" w:rsidRDefault="00442790" w:rsidP="007459A1">
      <w:pPr>
        <w:spacing w:after="0"/>
        <w:jc w:val="both"/>
        <w:rPr>
          <w:sz w:val="24"/>
          <w:szCs w:val="24"/>
        </w:rPr>
      </w:pPr>
    </w:p>
    <w:p w14:paraId="3A6A9F89" w14:textId="101D443A" w:rsidR="00442790" w:rsidRDefault="00442790" w:rsidP="007459A1">
      <w:pPr>
        <w:spacing w:after="0"/>
        <w:jc w:val="both"/>
        <w:rPr>
          <w:sz w:val="24"/>
          <w:szCs w:val="24"/>
        </w:rPr>
      </w:pPr>
      <w:r>
        <w:rPr>
          <w:sz w:val="24"/>
          <w:szCs w:val="24"/>
        </w:rPr>
        <w:t>La consommation spécifique est très variable selon les postes de production. Certains semblent en sous consommation (lignes tonneaux)</w:t>
      </w:r>
      <w:r w:rsidR="00C820C2">
        <w:rPr>
          <w:sz w:val="24"/>
          <w:szCs w:val="24"/>
        </w:rPr>
        <w:t xml:space="preserve"> alors que d’autres sont en sur</w:t>
      </w:r>
      <w:r w:rsidR="007459A1">
        <w:rPr>
          <w:sz w:val="24"/>
          <w:szCs w:val="24"/>
        </w:rPr>
        <w:t xml:space="preserve"> </w:t>
      </w:r>
      <w:r w:rsidR="00C820C2">
        <w:rPr>
          <w:sz w:val="24"/>
          <w:szCs w:val="24"/>
        </w:rPr>
        <w:t xml:space="preserve">consommation (lignes à l’attache). Par exemple, les lignes tonneaux (T2, T12 et T15) représentent </w:t>
      </w:r>
      <w:r w:rsidR="00077401">
        <w:rPr>
          <w:sz w:val="24"/>
          <w:szCs w:val="24"/>
        </w:rPr>
        <w:t>92% de la surface traitée mais seulement 44% du volume de rejet.</w:t>
      </w:r>
    </w:p>
    <w:p w14:paraId="5E6AB0A5" w14:textId="0BE07145" w:rsidR="00077401" w:rsidRDefault="00077401" w:rsidP="007459A1">
      <w:pPr>
        <w:spacing w:after="0"/>
        <w:jc w:val="both"/>
        <w:rPr>
          <w:sz w:val="24"/>
          <w:szCs w:val="24"/>
        </w:rPr>
      </w:pPr>
      <w:r>
        <w:rPr>
          <w:sz w:val="24"/>
          <w:szCs w:val="24"/>
        </w:rPr>
        <w:t>Par ailleurs, la consommation spécifique est légèrement inférieure à 4l/m²/fonction de rinçage (fr). Ce résultat est très inférieur à la limite autorisée par l’Arrêté Ministériel du 30/06/2006 qui fixe la valeur à 8 l/m²/fr et également très faible</w:t>
      </w:r>
      <w:r w:rsidR="00111BAB">
        <w:rPr>
          <w:sz w:val="24"/>
          <w:szCs w:val="24"/>
        </w:rPr>
        <w:t xml:space="preserve"> comparé</w:t>
      </w:r>
      <w:r w:rsidR="00D242BA">
        <w:rPr>
          <w:sz w:val="24"/>
          <w:szCs w:val="24"/>
        </w:rPr>
        <w:t>e</w:t>
      </w:r>
      <w:r w:rsidR="00111BAB">
        <w:rPr>
          <w:sz w:val="24"/>
          <w:szCs w:val="24"/>
        </w:rPr>
        <w:t xml:space="preserve"> à d’autres sociétés qui exercent le même type d’activité. </w:t>
      </w:r>
    </w:p>
    <w:p w14:paraId="02DE21ED" w14:textId="1EC83D1E" w:rsidR="00111BAB" w:rsidRDefault="00111BAB" w:rsidP="007459A1">
      <w:pPr>
        <w:spacing w:after="0"/>
        <w:jc w:val="both"/>
        <w:rPr>
          <w:sz w:val="24"/>
          <w:szCs w:val="24"/>
        </w:rPr>
      </w:pPr>
    </w:p>
    <w:p w14:paraId="02DD6E56" w14:textId="0A7FE161" w:rsidR="00111BAB" w:rsidRPr="00442790" w:rsidRDefault="00111BAB" w:rsidP="007459A1">
      <w:pPr>
        <w:spacing w:after="0"/>
        <w:jc w:val="both"/>
        <w:rPr>
          <w:sz w:val="24"/>
          <w:szCs w:val="24"/>
        </w:rPr>
      </w:pPr>
      <w:r>
        <w:rPr>
          <w:sz w:val="24"/>
          <w:szCs w:val="24"/>
        </w:rPr>
        <w:t xml:space="preserve">De ce fait, les rinçages des lignes tonneaux montrent un rapport de dilution trop faible alors que les lignes à l’attache ont un rapport de dilution trop élevé. </w:t>
      </w:r>
    </w:p>
    <w:p w14:paraId="323F7CA8" w14:textId="489DFB31" w:rsidR="00442790" w:rsidRPr="00442790" w:rsidRDefault="00442790" w:rsidP="007459A1">
      <w:pPr>
        <w:spacing w:after="0"/>
        <w:jc w:val="both"/>
        <w:rPr>
          <w:sz w:val="24"/>
          <w:szCs w:val="24"/>
        </w:rPr>
      </w:pPr>
    </w:p>
    <w:p w14:paraId="24A47FEB" w14:textId="02F4377B" w:rsidR="00111BAB" w:rsidRPr="00442790" w:rsidRDefault="00111BAB" w:rsidP="007459A1">
      <w:pPr>
        <w:spacing w:after="0"/>
        <w:jc w:val="both"/>
        <w:rPr>
          <w:b/>
          <w:bCs/>
          <w:sz w:val="24"/>
          <w:szCs w:val="24"/>
          <w:u w:val="single"/>
        </w:rPr>
      </w:pPr>
      <w:r w:rsidRPr="00442790">
        <w:rPr>
          <w:b/>
          <w:bCs/>
          <w:sz w:val="24"/>
          <w:szCs w:val="24"/>
          <w:u w:val="single"/>
        </w:rPr>
        <w:t xml:space="preserve">Analyse de la situation actuelle au niveau </w:t>
      </w:r>
      <w:r>
        <w:rPr>
          <w:b/>
          <w:bCs/>
          <w:sz w:val="24"/>
          <w:szCs w:val="24"/>
          <w:u w:val="single"/>
        </w:rPr>
        <w:t>du traitement des effluents</w:t>
      </w:r>
      <w:r w:rsidRPr="00442790">
        <w:rPr>
          <w:b/>
          <w:bCs/>
          <w:sz w:val="24"/>
          <w:szCs w:val="24"/>
          <w:u w:val="single"/>
        </w:rPr>
        <w:t> :</w:t>
      </w:r>
    </w:p>
    <w:p w14:paraId="6FBA6F8C" w14:textId="5E564B83" w:rsidR="00442790" w:rsidRPr="00442790" w:rsidRDefault="00442790" w:rsidP="007459A1">
      <w:pPr>
        <w:spacing w:after="0"/>
        <w:jc w:val="both"/>
        <w:rPr>
          <w:sz w:val="24"/>
          <w:szCs w:val="24"/>
        </w:rPr>
      </w:pPr>
    </w:p>
    <w:p w14:paraId="2F9BD1F5" w14:textId="03DFA07E" w:rsidR="00442790" w:rsidRDefault="00D242BA" w:rsidP="007459A1">
      <w:pPr>
        <w:spacing w:after="0"/>
        <w:jc w:val="both"/>
        <w:rPr>
          <w:sz w:val="24"/>
          <w:szCs w:val="24"/>
        </w:rPr>
      </w:pPr>
      <w:r>
        <w:rPr>
          <w:sz w:val="24"/>
          <w:szCs w:val="24"/>
        </w:rPr>
        <w:t>La station de traitement des effluents est une station physico chimique classique :</w:t>
      </w:r>
    </w:p>
    <w:p w14:paraId="351CBB3F" w14:textId="517F6315" w:rsidR="00D242BA" w:rsidRDefault="00D242BA" w:rsidP="007459A1">
      <w:pPr>
        <w:pStyle w:val="Paragraphedeliste"/>
        <w:numPr>
          <w:ilvl w:val="0"/>
          <w:numId w:val="2"/>
        </w:numPr>
        <w:spacing w:after="0"/>
        <w:jc w:val="both"/>
        <w:rPr>
          <w:sz w:val="24"/>
          <w:szCs w:val="24"/>
        </w:rPr>
      </w:pPr>
      <w:r>
        <w:rPr>
          <w:sz w:val="24"/>
          <w:szCs w:val="24"/>
        </w:rPr>
        <w:t xml:space="preserve">3 réseaux séparatifs de collecte : réseau alcalin (bains usés et rinçages) et réseau acide chromique (bains usés et rinçages), réseau </w:t>
      </w:r>
      <w:r w:rsidR="00DF32EF">
        <w:rPr>
          <w:sz w:val="24"/>
          <w:szCs w:val="24"/>
        </w:rPr>
        <w:t xml:space="preserve">des </w:t>
      </w:r>
      <w:r>
        <w:rPr>
          <w:sz w:val="24"/>
          <w:szCs w:val="24"/>
        </w:rPr>
        <w:t xml:space="preserve">rinçages d’effluents de zinc nickel, </w:t>
      </w:r>
    </w:p>
    <w:p w14:paraId="49D608A8" w14:textId="4247BF6A" w:rsidR="00D242BA" w:rsidRDefault="00D242BA" w:rsidP="007459A1">
      <w:pPr>
        <w:pStyle w:val="Paragraphedeliste"/>
        <w:numPr>
          <w:ilvl w:val="0"/>
          <w:numId w:val="2"/>
        </w:numPr>
        <w:spacing w:after="0"/>
        <w:jc w:val="both"/>
        <w:rPr>
          <w:sz w:val="24"/>
          <w:szCs w:val="24"/>
        </w:rPr>
      </w:pPr>
      <w:r>
        <w:rPr>
          <w:sz w:val="24"/>
          <w:szCs w:val="24"/>
        </w:rPr>
        <w:t xml:space="preserve">Décomplexation des </w:t>
      </w:r>
      <w:r w:rsidR="00516874">
        <w:rPr>
          <w:sz w:val="24"/>
          <w:szCs w:val="24"/>
        </w:rPr>
        <w:t>effluents</w:t>
      </w:r>
      <w:r>
        <w:rPr>
          <w:sz w:val="24"/>
          <w:szCs w:val="24"/>
        </w:rPr>
        <w:t xml:space="preserve"> de zinc nickel</w:t>
      </w:r>
      <w:r w:rsidR="00516874">
        <w:rPr>
          <w:sz w:val="24"/>
          <w:szCs w:val="24"/>
        </w:rPr>
        <w:t xml:space="preserve"> à l’aide de la javel, </w:t>
      </w:r>
    </w:p>
    <w:p w14:paraId="55872604" w14:textId="48ABE6F9" w:rsidR="00516874" w:rsidRDefault="00516874" w:rsidP="007459A1">
      <w:pPr>
        <w:pStyle w:val="Paragraphedeliste"/>
        <w:numPr>
          <w:ilvl w:val="0"/>
          <w:numId w:val="2"/>
        </w:numPr>
        <w:spacing w:after="0"/>
        <w:jc w:val="both"/>
        <w:rPr>
          <w:sz w:val="24"/>
          <w:szCs w:val="24"/>
        </w:rPr>
      </w:pPr>
      <w:r>
        <w:rPr>
          <w:sz w:val="24"/>
          <w:szCs w:val="24"/>
        </w:rPr>
        <w:t xml:space="preserve">Déchromatation à l’aide de bisulfite de soude, </w:t>
      </w:r>
    </w:p>
    <w:p w14:paraId="34D1916B" w14:textId="5E37AA6E" w:rsidR="00D242BA" w:rsidRDefault="00516874" w:rsidP="007459A1">
      <w:pPr>
        <w:pStyle w:val="Paragraphedeliste"/>
        <w:numPr>
          <w:ilvl w:val="0"/>
          <w:numId w:val="2"/>
        </w:numPr>
        <w:spacing w:after="0"/>
        <w:jc w:val="both"/>
        <w:rPr>
          <w:sz w:val="24"/>
          <w:szCs w:val="24"/>
        </w:rPr>
      </w:pPr>
      <w:r>
        <w:rPr>
          <w:sz w:val="24"/>
          <w:szCs w:val="24"/>
        </w:rPr>
        <w:t xml:space="preserve">Décyanuration à l’aide de javel. Il n’y a plus de formulation à base de cyanures sur le site mais </w:t>
      </w:r>
      <w:r w:rsidR="00C643CE">
        <w:rPr>
          <w:sz w:val="24"/>
          <w:szCs w:val="24"/>
        </w:rPr>
        <w:t>de la javel est toujours injectée dans ce réacteur,</w:t>
      </w:r>
    </w:p>
    <w:p w14:paraId="18921ABA" w14:textId="2091C46B" w:rsidR="00C643CE" w:rsidRDefault="00C643CE" w:rsidP="007459A1">
      <w:pPr>
        <w:pStyle w:val="Paragraphedeliste"/>
        <w:numPr>
          <w:ilvl w:val="0"/>
          <w:numId w:val="2"/>
        </w:numPr>
        <w:spacing w:after="0"/>
        <w:jc w:val="both"/>
        <w:rPr>
          <w:sz w:val="24"/>
          <w:szCs w:val="24"/>
        </w:rPr>
      </w:pPr>
      <w:r>
        <w:rPr>
          <w:sz w:val="24"/>
          <w:szCs w:val="24"/>
        </w:rPr>
        <w:t xml:space="preserve">Précipitation : 2 réacteurs différents, </w:t>
      </w:r>
    </w:p>
    <w:p w14:paraId="13290E19" w14:textId="45C79CB3" w:rsidR="00C643CE" w:rsidRDefault="00C643CE" w:rsidP="007459A1">
      <w:pPr>
        <w:pStyle w:val="Paragraphedeliste"/>
        <w:numPr>
          <w:ilvl w:val="0"/>
          <w:numId w:val="2"/>
        </w:numPr>
        <w:spacing w:after="0"/>
        <w:jc w:val="both"/>
        <w:rPr>
          <w:sz w:val="24"/>
          <w:szCs w:val="24"/>
        </w:rPr>
      </w:pPr>
      <w:r>
        <w:rPr>
          <w:sz w:val="24"/>
          <w:szCs w:val="24"/>
        </w:rPr>
        <w:t xml:space="preserve">Floculation, </w:t>
      </w:r>
    </w:p>
    <w:p w14:paraId="15D36096" w14:textId="47C86905" w:rsidR="00C643CE" w:rsidRDefault="00C643CE" w:rsidP="007459A1">
      <w:pPr>
        <w:pStyle w:val="Paragraphedeliste"/>
        <w:numPr>
          <w:ilvl w:val="0"/>
          <w:numId w:val="2"/>
        </w:numPr>
        <w:spacing w:after="0"/>
        <w:jc w:val="both"/>
        <w:rPr>
          <w:sz w:val="24"/>
          <w:szCs w:val="24"/>
        </w:rPr>
      </w:pPr>
      <w:r>
        <w:rPr>
          <w:sz w:val="24"/>
          <w:szCs w:val="24"/>
        </w:rPr>
        <w:t xml:space="preserve">Décantation, </w:t>
      </w:r>
    </w:p>
    <w:p w14:paraId="6E71BB5B" w14:textId="1925B369" w:rsidR="00C643CE" w:rsidRDefault="00C643CE" w:rsidP="007459A1">
      <w:pPr>
        <w:pStyle w:val="Paragraphedeliste"/>
        <w:numPr>
          <w:ilvl w:val="0"/>
          <w:numId w:val="2"/>
        </w:numPr>
        <w:spacing w:after="0"/>
        <w:jc w:val="both"/>
        <w:rPr>
          <w:sz w:val="24"/>
          <w:szCs w:val="24"/>
        </w:rPr>
      </w:pPr>
      <w:r>
        <w:rPr>
          <w:sz w:val="24"/>
          <w:szCs w:val="24"/>
        </w:rPr>
        <w:t>Filtration sur filtre sable,</w:t>
      </w:r>
    </w:p>
    <w:p w14:paraId="56607B91" w14:textId="1F090921" w:rsidR="00C643CE" w:rsidRDefault="00C643CE" w:rsidP="007459A1">
      <w:pPr>
        <w:pStyle w:val="Paragraphedeliste"/>
        <w:numPr>
          <w:ilvl w:val="0"/>
          <w:numId w:val="2"/>
        </w:numPr>
        <w:spacing w:after="0"/>
        <w:jc w:val="both"/>
        <w:rPr>
          <w:sz w:val="24"/>
          <w:szCs w:val="24"/>
        </w:rPr>
      </w:pPr>
      <w:r>
        <w:rPr>
          <w:sz w:val="24"/>
          <w:szCs w:val="24"/>
        </w:rPr>
        <w:t>Remise à PH</w:t>
      </w:r>
      <w:r w:rsidR="00DF32EF">
        <w:rPr>
          <w:sz w:val="24"/>
          <w:szCs w:val="24"/>
        </w:rPr>
        <w:t>,</w:t>
      </w:r>
    </w:p>
    <w:p w14:paraId="280C0753" w14:textId="2D640A4B" w:rsidR="00C643CE" w:rsidRDefault="00C643CE" w:rsidP="007459A1">
      <w:pPr>
        <w:pStyle w:val="Paragraphedeliste"/>
        <w:numPr>
          <w:ilvl w:val="0"/>
          <w:numId w:val="2"/>
        </w:numPr>
        <w:spacing w:after="0"/>
        <w:jc w:val="both"/>
        <w:rPr>
          <w:sz w:val="24"/>
          <w:szCs w:val="24"/>
        </w:rPr>
      </w:pPr>
      <w:r>
        <w:rPr>
          <w:sz w:val="24"/>
          <w:szCs w:val="24"/>
        </w:rPr>
        <w:t xml:space="preserve">Filtration sur résines échangeuses d’ions TP207, </w:t>
      </w:r>
    </w:p>
    <w:p w14:paraId="69ADAD1E" w14:textId="238AB176" w:rsidR="00C643CE" w:rsidRPr="00C643CE" w:rsidRDefault="00C643CE" w:rsidP="007459A1">
      <w:pPr>
        <w:pStyle w:val="Paragraphedeliste"/>
        <w:numPr>
          <w:ilvl w:val="0"/>
          <w:numId w:val="2"/>
        </w:numPr>
        <w:spacing w:after="0"/>
        <w:jc w:val="both"/>
        <w:rPr>
          <w:sz w:val="24"/>
          <w:szCs w:val="24"/>
        </w:rPr>
      </w:pPr>
      <w:r>
        <w:rPr>
          <w:sz w:val="24"/>
          <w:szCs w:val="24"/>
        </w:rPr>
        <w:t xml:space="preserve">Remise à PH final. </w:t>
      </w:r>
    </w:p>
    <w:p w14:paraId="3A8C4DCC" w14:textId="33914E2C" w:rsidR="00111BAB" w:rsidRDefault="00111BAB" w:rsidP="007459A1">
      <w:pPr>
        <w:spacing w:after="0"/>
        <w:jc w:val="both"/>
        <w:rPr>
          <w:sz w:val="24"/>
          <w:szCs w:val="24"/>
        </w:rPr>
      </w:pPr>
    </w:p>
    <w:p w14:paraId="6870B743" w14:textId="5F7B806C" w:rsidR="00111BAB" w:rsidRDefault="00C643CE" w:rsidP="007459A1">
      <w:pPr>
        <w:spacing w:after="0"/>
        <w:jc w:val="both"/>
        <w:rPr>
          <w:sz w:val="24"/>
          <w:szCs w:val="24"/>
        </w:rPr>
      </w:pPr>
      <w:r>
        <w:rPr>
          <w:sz w:val="24"/>
          <w:szCs w:val="24"/>
        </w:rPr>
        <w:t xml:space="preserve">Les volumes des cuves de stockage exigent une gestion complexe des effluents (bains usés alcalins, cuve tampons rinçages alcalins et acides/chromiques). </w:t>
      </w:r>
      <w:r w:rsidR="00556210">
        <w:rPr>
          <w:sz w:val="24"/>
          <w:szCs w:val="24"/>
        </w:rPr>
        <w:t>Ces sous dimensionnement</w:t>
      </w:r>
      <w:r w:rsidR="00A67B87">
        <w:rPr>
          <w:sz w:val="24"/>
          <w:szCs w:val="24"/>
        </w:rPr>
        <w:t>s</w:t>
      </w:r>
      <w:r w:rsidR="00556210">
        <w:rPr>
          <w:sz w:val="24"/>
          <w:szCs w:val="24"/>
        </w:rPr>
        <w:t xml:space="preserve"> ne permettent pas de lisser </w:t>
      </w:r>
      <w:r w:rsidR="00556210">
        <w:rPr>
          <w:sz w:val="24"/>
          <w:szCs w:val="24"/>
        </w:rPr>
        <w:lastRenderedPageBreak/>
        <w:t>la nature des effluents arrivant dans l’ouvrage épuratoire et peuvent entrainer des dysfonctionnements dans l’arrivée de certains réactifs (pas d’arrivée de chaux en neutralisation en cas de passage rapide des effluents alcalins)</w:t>
      </w:r>
      <w:r w:rsidR="00DF32EF">
        <w:rPr>
          <w:sz w:val="24"/>
          <w:szCs w:val="24"/>
        </w:rPr>
        <w:t>.</w:t>
      </w:r>
      <w:r w:rsidR="00556210">
        <w:rPr>
          <w:sz w:val="24"/>
          <w:szCs w:val="24"/>
        </w:rPr>
        <w:t xml:space="preserve"> De plus, c</w:t>
      </w:r>
      <w:r>
        <w:rPr>
          <w:sz w:val="24"/>
          <w:szCs w:val="24"/>
        </w:rPr>
        <w:t>ertains bains ne sont pas orientés vers le bon réseau (rinçages au lieu de bains usés).</w:t>
      </w:r>
    </w:p>
    <w:p w14:paraId="3E055CE6" w14:textId="6EC9C3FC" w:rsidR="00C643CE" w:rsidRDefault="00C643CE" w:rsidP="007459A1">
      <w:pPr>
        <w:spacing w:after="0"/>
        <w:jc w:val="both"/>
        <w:rPr>
          <w:sz w:val="24"/>
          <w:szCs w:val="24"/>
        </w:rPr>
      </w:pPr>
    </w:p>
    <w:p w14:paraId="3FD2A72C" w14:textId="604B26C8" w:rsidR="007E0D73" w:rsidRPr="007E0D73" w:rsidRDefault="007E0D73" w:rsidP="007459A1">
      <w:pPr>
        <w:spacing w:after="0"/>
        <w:jc w:val="both"/>
        <w:rPr>
          <w:b/>
          <w:bCs/>
          <w:sz w:val="24"/>
          <w:szCs w:val="24"/>
          <w:u w:val="single"/>
        </w:rPr>
      </w:pPr>
      <w:r w:rsidRPr="007E0D73">
        <w:rPr>
          <w:b/>
          <w:bCs/>
          <w:sz w:val="24"/>
          <w:szCs w:val="24"/>
          <w:u w:val="single"/>
        </w:rPr>
        <w:t>Analyse des résultats d’autocontrôle pour déterminer les points de vigilance et d’amélioration :</w:t>
      </w:r>
    </w:p>
    <w:p w14:paraId="1C8BCEB5" w14:textId="3A85BDE9" w:rsidR="00111BAB" w:rsidRDefault="00111BAB" w:rsidP="007459A1">
      <w:pPr>
        <w:spacing w:after="0"/>
        <w:jc w:val="both"/>
        <w:rPr>
          <w:sz w:val="24"/>
          <w:szCs w:val="24"/>
        </w:rPr>
      </w:pPr>
    </w:p>
    <w:p w14:paraId="37D36A6A" w14:textId="73D17293" w:rsidR="00111BAB" w:rsidRDefault="007E0D73" w:rsidP="007459A1">
      <w:pPr>
        <w:spacing w:after="0"/>
        <w:jc w:val="both"/>
        <w:rPr>
          <w:sz w:val="24"/>
          <w:szCs w:val="24"/>
        </w:rPr>
      </w:pPr>
      <w:r>
        <w:rPr>
          <w:sz w:val="24"/>
          <w:szCs w:val="24"/>
        </w:rPr>
        <w:t>Au vu des résultats d’autosurveillance, il est à noter :</w:t>
      </w:r>
    </w:p>
    <w:p w14:paraId="6DD759C1" w14:textId="35F5E90A" w:rsidR="007E0D73" w:rsidRDefault="007E0D73" w:rsidP="007459A1">
      <w:pPr>
        <w:pStyle w:val="Paragraphedeliste"/>
        <w:numPr>
          <w:ilvl w:val="0"/>
          <w:numId w:val="3"/>
        </w:numPr>
        <w:spacing w:after="0"/>
        <w:jc w:val="both"/>
        <w:rPr>
          <w:sz w:val="24"/>
          <w:szCs w:val="24"/>
        </w:rPr>
      </w:pPr>
      <w:r>
        <w:rPr>
          <w:sz w:val="24"/>
          <w:szCs w:val="24"/>
        </w:rPr>
        <w:t xml:space="preserve">Aucun dépassement des flux maximum autorisés, </w:t>
      </w:r>
    </w:p>
    <w:p w14:paraId="35FA060A" w14:textId="2528AF07" w:rsidR="007E0D73" w:rsidRDefault="007E0D73" w:rsidP="007459A1">
      <w:pPr>
        <w:pStyle w:val="Paragraphedeliste"/>
        <w:numPr>
          <w:ilvl w:val="0"/>
          <w:numId w:val="3"/>
        </w:numPr>
        <w:spacing w:after="0"/>
        <w:jc w:val="both"/>
        <w:rPr>
          <w:sz w:val="24"/>
          <w:szCs w:val="24"/>
        </w:rPr>
      </w:pPr>
      <w:r>
        <w:rPr>
          <w:sz w:val="24"/>
          <w:szCs w:val="24"/>
        </w:rPr>
        <w:t xml:space="preserve">Quelques dépassements des valeurs limites de rejet en cyanure, nickel, </w:t>
      </w:r>
    </w:p>
    <w:p w14:paraId="24CF62E8" w14:textId="521949C5" w:rsidR="007E0D73" w:rsidRDefault="007E0D73" w:rsidP="007459A1">
      <w:pPr>
        <w:pStyle w:val="Paragraphedeliste"/>
        <w:numPr>
          <w:ilvl w:val="0"/>
          <w:numId w:val="3"/>
        </w:numPr>
        <w:spacing w:after="0"/>
        <w:jc w:val="both"/>
        <w:rPr>
          <w:sz w:val="24"/>
          <w:szCs w:val="24"/>
        </w:rPr>
      </w:pPr>
      <w:r>
        <w:rPr>
          <w:sz w:val="24"/>
          <w:szCs w:val="24"/>
        </w:rPr>
        <w:t>Des dépassements récurrents en DCO</w:t>
      </w:r>
      <w:r w:rsidR="00A67B87">
        <w:rPr>
          <w:sz w:val="24"/>
          <w:szCs w:val="24"/>
        </w:rPr>
        <w:t xml:space="preserve"> provenant principalement des bains de dégraissage</w:t>
      </w:r>
      <w:r>
        <w:rPr>
          <w:sz w:val="24"/>
          <w:szCs w:val="24"/>
        </w:rPr>
        <w:t xml:space="preserve">. </w:t>
      </w:r>
    </w:p>
    <w:p w14:paraId="0BAB7201" w14:textId="32F6DB62" w:rsidR="007E0D73" w:rsidRDefault="007E0D73" w:rsidP="007459A1">
      <w:pPr>
        <w:spacing w:after="0"/>
        <w:jc w:val="both"/>
        <w:rPr>
          <w:sz w:val="24"/>
          <w:szCs w:val="24"/>
        </w:rPr>
      </w:pPr>
    </w:p>
    <w:p w14:paraId="434AFC91" w14:textId="6ED18871" w:rsidR="007E0D73" w:rsidRPr="007E0D73" w:rsidRDefault="007E0D73" w:rsidP="007459A1">
      <w:pPr>
        <w:spacing w:after="0"/>
        <w:jc w:val="both"/>
        <w:rPr>
          <w:sz w:val="24"/>
          <w:szCs w:val="24"/>
        </w:rPr>
      </w:pPr>
      <w:r>
        <w:rPr>
          <w:sz w:val="24"/>
          <w:szCs w:val="24"/>
        </w:rPr>
        <w:t>Par ailleurs, les comparaisons avec les résultats d’autosurveillance ou RSDE trimestriels réalisés par un laboratoire extérieur montrent des différences dans les résultats (résultats inférieurs avec les techniques normalisé</w:t>
      </w:r>
      <w:r w:rsidR="00DF32EF">
        <w:rPr>
          <w:sz w:val="24"/>
          <w:szCs w:val="24"/>
        </w:rPr>
        <w:t>e</w:t>
      </w:r>
      <w:r>
        <w:rPr>
          <w:sz w:val="24"/>
          <w:szCs w:val="24"/>
        </w:rPr>
        <w:t>s ou supérieurs selon les métaux). Ces résultats rejoignent ceux observés lors de l’étude collective réalisée par le CETIM sur 2 échantillons de rejets industriels et solution</w:t>
      </w:r>
      <w:r w:rsidR="007459A1">
        <w:rPr>
          <w:sz w:val="24"/>
          <w:szCs w:val="24"/>
        </w:rPr>
        <w:t>s</w:t>
      </w:r>
      <w:r>
        <w:rPr>
          <w:sz w:val="24"/>
          <w:szCs w:val="24"/>
        </w:rPr>
        <w:t xml:space="preserve"> tampon ; analyses effectuées par 5 industriels et 5 laboratoires qui montr</w:t>
      </w:r>
      <w:r w:rsidR="00DF32EF">
        <w:rPr>
          <w:sz w:val="24"/>
          <w:szCs w:val="24"/>
        </w:rPr>
        <w:t>e</w:t>
      </w:r>
      <w:r>
        <w:rPr>
          <w:sz w:val="24"/>
          <w:szCs w:val="24"/>
        </w:rPr>
        <w:t xml:space="preserve"> des écarts parfois significatifs. Ceci est </w:t>
      </w:r>
      <w:r w:rsidR="007459A1">
        <w:rPr>
          <w:sz w:val="24"/>
          <w:szCs w:val="24"/>
        </w:rPr>
        <w:t>dû</w:t>
      </w:r>
      <w:r>
        <w:rPr>
          <w:sz w:val="24"/>
          <w:szCs w:val="24"/>
        </w:rPr>
        <w:t xml:space="preserve"> à la complexité des matrices des effluents du traitement de surface (forte présence de sels, de matières organiques et de matières en suspension). </w:t>
      </w:r>
    </w:p>
    <w:p w14:paraId="302D04E9" w14:textId="4A222F6B" w:rsidR="00442790" w:rsidRPr="00442790" w:rsidRDefault="00442790" w:rsidP="007459A1">
      <w:pPr>
        <w:spacing w:after="0"/>
        <w:jc w:val="both"/>
        <w:rPr>
          <w:sz w:val="24"/>
          <w:szCs w:val="24"/>
        </w:rPr>
      </w:pPr>
    </w:p>
    <w:p w14:paraId="2F0C18FF" w14:textId="38200D45" w:rsidR="00A67B87" w:rsidRPr="00A67B87" w:rsidRDefault="00A67B87" w:rsidP="007459A1">
      <w:pPr>
        <w:spacing w:after="0"/>
        <w:jc w:val="both"/>
        <w:rPr>
          <w:b/>
          <w:bCs/>
          <w:sz w:val="24"/>
          <w:szCs w:val="24"/>
          <w:u w:val="single"/>
        </w:rPr>
      </w:pPr>
      <w:r w:rsidRPr="00A67B87">
        <w:rPr>
          <w:b/>
          <w:bCs/>
          <w:sz w:val="24"/>
          <w:szCs w:val="24"/>
          <w:u w:val="single"/>
        </w:rPr>
        <w:t>Recherches de solutions existantes pour aménagement à la source avec étude de l’aspect économique :</w:t>
      </w:r>
    </w:p>
    <w:p w14:paraId="1C81EE5F" w14:textId="40A9D467" w:rsidR="00442790" w:rsidRDefault="00442790" w:rsidP="007459A1">
      <w:pPr>
        <w:spacing w:after="0"/>
        <w:jc w:val="both"/>
        <w:rPr>
          <w:sz w:val="24"/>
          <w:szCs w:val="24"/>
        </w:rPr>
      </w:pPr>
    </w:p>
    <w:p w14:paraId="4FE622F0" w14:textId="4DCF31B9" w:rsidR="00A67B87" w:rsidRDefault="00A67B87" w:rsidP="007459A1">
      <w:pPr>
        <w:spacing w:after="0"/>
        <w:jc w:val="both"/>
        <w:rPr>
          <w:sz w:val="24"/>
          <w:szCs w:val="24"/>
        </w:rPr>
      </w:pPr>
      <w:r>
        <w:rPr>
          <w:sz w:val="24"/>
          <w:szCs w:val="24"/>
        </w:rPr>
        <w:t>La pollution provient principalement des bains de dégraissage (DCO très élevée, principalement sur les chaînes tonneaux) et décapage (haute teneur en fer</w:t>
      </w:r>
      <w:r w:rsidR="007459A1">
        <w:rPr>
          <w:sz w:val="24"/>
          <w:szCs w:val="24"/>
        </w:rPr>
        <w:t>)</w:t>
      </w:r>
      <w:r>
        <w:rPr>
          <w:sz w:val="24"/>
          <w:szCs w:val="24"/>
        </w:rPr>
        <w:t xml:space="preserve">. Ces polluants sont entrainés dans les bains de traitement et de passivation. </w:t>
      </w:r>
    </w:p>
    <w:p w14:paraId="14656ED9" w14:textId="125A49BC" w:rsidR="00A67B87" w:rsidRDefault="00A67B87" w:rsidP="007459A1">
      <w:pPr>
        <w:spacing w:after="0"/>
        <w:jc w:val="both"/>
        <w:rPr>
          <w:sz w:val="24"/>
          <w:szCs w:val="24"/>
        </w:rPr>
      </w:pPr>
    </w:p>
    <w:p w14:paraId="2CCB6F0A" w14:textId="78BE3808" w:rsidR="00A67B87" w:rsidRDefault="00A67B87" w:rsidP="007459A1">
      <w:pPr>
        <w:spacing w:after="0"/>
        <w:jc w:val="both"/>
        <w:rPr>
          <w:sz w:val="24"/>
          <w:szCs w:val="24"/>
        </w:rPr>
      </w:pPr>
      <w:r>
        <w:rPr>
          <w:sz w:val="24"/>
          <w:szCs w:val="24"/>
        </w:rPr>
        <w:t xml:space="preserve">Concernant les bains de dégraissage, des déshuileurs sont déjà en place mais ne semblent pas suffisant au vu des pièces traitées dans les lignes. Un travail collaboratif est en cours avec les principaux clients afin de réduire les teneurs en huile des pièces. </w:t>
      </w:r>
      <w:r w:rsidR="00EC6C40">
        <w:rPr>
          <w:sz w:val="24"/>
          <w:szCs w:val="24"/>
        </w:rPr>
        <w:t xml:space="preserve">Des traitements de micro/ultra filtration pourraient être envisagés sur ces bains mais ces techniques présentent un investissement très important (environ 400k€/ligne) avec des résultats aléatoires. Il faut en effet, une lessive spécifique et il en existe très peu sur le marché. </w:t>
      </w:r>
    </w:p>
    <w:p w14:paraId="49996A04" w14:textId="1D84FC30" w:rsidR="00EC6C40" w:rsidRDefault="00EC6C40" w:rsidP="007459A1">
      <w:pPr>
        <w:spacing w:after="0"/>
        <w:jc w:val="both"/>
        <w:rPr>
          <w:sz w:val="24"/>
          <w:szCs w:val="24"/>
        </w:rPr>
      </w:pPr>
    </w:p>
    <w:p w14:paraId="11CB8406" w14:textId="723ECFD8" w:rsidR="00EC6C40" w:rsidRDefault="00EC6C40" w:rsidP="007459A1">
      <w:pPr>
        <w:spacing w:after="0"/>
        <w:jc w:val="both"/>
        <w:rPr>
          <w:sz w:val="24"/>
          <w:szCs w:val="24"/>
        </w:rPr>
      </w:pPr>
      <w:r>
        <w:rPr>
          <w:sz w:val="24"/>
          <w:szCs w:val="24"/>
        </w:rPr>
        <w:t xml:space="preserve">Concernant les bains de décapage, il n’y a pas de techniques économiquement viables pour l’élimination du fer. </w:t>
      </w:r>
    </w:p>
    <w:p w14:paraId="6EB87499" w14:textId="355DF769" w:rsidR="00EC6C40" w:rsidRDefault="00EC6C40" w:rsidP="007459A1">
      <w:pPr>
        <w:spacing w:after="0"/>
        <w:jc w:val="both"/>
        <w:rPr>
          <w:sz w:val="24"/>
          <w:szCs w:val="24"/>
        </w:rPr>
      </w:pPr>
    </w:p>
    <w:p w14:paraId="70E94B49" w14:textId="6F29C1AE" w:rsidR="00EC6C40" w:rsidRDefault="00EC6C40" w:rsidP="007459A1">
      <w:pPr>
        <w:spacing w:after="0"/>
        <w:jc w:val="both"/>
        <w:rPr>
          <w:sz w:val="24"/>
          <w:szCs w:val="24"/>
        </w:rPr>
      </w:pPr>
      <w:r>
        <w:rPr>
          <w:sz w:val="24"/>
          <w:szCs w:val="24"/>
        </w:rPr>
        <w:t>Concernant les lignes de traitement de surface, les aménagements suivants pourraient être réalisés :</w:t>
      </w:r>
    </w:p>
    <w:p w14:paraId="2FF82C98" w14:textId="57C10A0A" w:rsidR="00EC6C40" w:rsidRDefault="00EC6C40" w:rsidP="007459A1">
      <w:pPr>
        <w:pStyle w:val="Paragraphedeliste"/>
        <w:numPr>
          <w:ilvl w:val="0"/>
          <w:numId w:val="4"/>
        </w:numPr>
        <w:spacing w:after="0"/>
        <w:jc w:val="both"/>
        <w:rPr>
          <w:sz w:val="24"/>
          <w:szCs w:val="24"/>
        </w:rPr>
      </w:pPr>
      <w:r>
        <w:rPr>
          <w:sz w:val="24"/>
          <w:szCs w:val="24"/>
        </w:rPr>
        <w:t xml:space="preserve">Modification des structures de rinçages des lignes tonneaux pour augmenter le rapport de dilution mais n’est pas possible en l’état car provoquerait un allongement des lignes de traitement (non réalisable car pas assez de place), </w:t>
      </w:r>
    </w:p>
    <w:p w14:paraId="66E5DFE2" w14:textId="77777777" w:rsidR="00EC6C40" w:rsidRDefault="00EC6C40" w:rsidP="007459A1">
      <w:pPr>
        <w:pStyle w:val="Paragraphedeliste"/>
        <w:numPr>
          <w:ilvl w:val="0"/>
          <w:numId w:val="4"/>
        </w:numPr>
        <w:spacing w:after="0"/>
        <w:jc w:val="both"/>
        <w:rPr>
          <w:sz w:val="24"/>
          <w:szCs w:val="24"/>
        </w:rPr>
      </w:pPr>
      <w:r>
        <w:rPr>
          <w:sz w:val="24"/>
          <w:szCs w:val="24"/>
        </w:rPr>
        <w:t xml:space="preserve">Augmenter légèrement les débits des rinçages mais limitation de la capacité de la STEP, </w:t>
      </w:r>
    </w:p>
    <w:p w14:paraId="5D37DAC3" w14:textId="4CDD9952" w:rsidR="00EC6C40" w:rsidRDefault="00EC6C40" w:rsidP="007459A1">
      <w:pPr>
        <w:pStyle w:val="Paragraphedeliste"/>
        <w:numPr>
          <w:ilvl w:val="0"/>
          <w:numId w:val="4"/>
        </w:numPr>
        <w:spacing w:after="0"/>
        <w:jc w:val="both"/>
        <w:rPr>
          <w:sz w:val="24"/>
          <w:szCs w:val="24"/>
        </w:rPr>
      </w:pPr>
      <w:r>
        <w:rPr>
          <w:sz w:val="24"/>
          <w:szCs w:val="24"/>
        </w:rPr>
        <w:t xml:space="preserve">Mise en place d’unité de recyclage sur </w:t>
      </w:r>
      <w:r w:rsidR="009A7F69">
        <w:rPr>
          <w:sz w:val="24"/>
          <w:szCs w:val="24"/>
        </w:rPr>
        <w:t>chaque rinçage mais cela génèrerait des coûts et une augmentation importante des effluents à traiter ou à détruire</w:t>
      </w:r>
      <w:r>
        <w:rPr>
          <w:sz w:val="24"/>
          <w:szCs w:val="24"/>
        </w:rPr>
        <w:t xml:space="preserve">, </w:t>
      </w:r>
    </w:p>
    <w:p w14:paraId="02F3C628" w14:textId="0AC66E6D" w:rsidR="00EC6C40" w:rsidRDefault="009A7F69" w:rsidP="007459A1">
      <w:pPr>
        <w:pStyle w:val="Paragraphedeliste"/>
        <w:numPr>
          <w:ilvl w:val="0"/>
          <w:numId w:val="4"/>
        </w:numPr>
        <w:spacing w:after="0"/>
        <w:jc w:val="both"/>
        <w:rPr>
          <w:sz w:val="24"/>
          <w:szCs w:val="24"/>
        </w:rPr>
      </w:pPr>
      <w:r>
        <w:rPr>
          <w:sz w:val="24"/>
          <w:szCs w:val="24"/>
        </w:rPr>
        <w:t xml:space="preserve">Les lignes à l’attache sont de grandes consommatrices d’eau par rapport à la surface qu’elles traitent. Les débits des rinçages pourraient être réduits. Néanmoins les débits nécessaires sont très faibles et donc complexes à réguler. Par ailleurs, le grand nombre de gammes sur ces chaînes impliquent l’alimentation de tous les rinçages même ceux non utilisés. Ainsi, il semblerait opportun d’équiper ces rinçages de vannes commandées par l’automate pour ne délivrer de l’eau que quand c’est nécessaire. </w:t>
      </w:r>
    </w:p>
    <w:p w14:paraId="7986FEFF" w14:textId="45CABAF8" w:rsidR="009A7F69" w:rsidRDefault="009A7F69" w:rsidP="007459A1">
      <w:pPr>
        <w:pStyle w:val="Paragraphedeliste"/>
        <w:numPr>
          <w:ilvl w:val="0"/>
          <w:numId w:val="4"/>
        </w:numPr>
        <w:spacing w:after="0"/>
        <w:jc w:val="both"/>
        <w:rPr>
          <w:sz w:val="24"/>
          <w:szCs w:val="24"/>
        </w:rPr>
      </w:pPr>
      <w:r>
        <w:rPr>
          <w:sz w:val="24"/>
          <w:szCs w:val="24"/>
        </w:rPr>
        <w:lastRenderedPageBreak/>
        <w:t>La pollution engendrée par les phases de nettoyage ou de maintenance peut être importante même si le volume d’eau concerné semble faible. Il serait intéressant de se t</w:t>
      </w:r>
      <w:r w:rsidR="00051C00">
        <w:rPr>
          <w:sz w:val="24"/>
          <w:szCs w:val="24"/>
        </w:rPr>
        <w:t>ourner</w:t>
      </w:r>
      <w:r>
        <w:rPr>
          <w:sz w:val="24"/>
          <w:szCs w:val="24"/>
        </w:rPr>
        <w:t xml:space="preserve"> vers des solutions de nettoyage à la vapeur sèche</w:t>
      </w:r>
      <w:r w:rsidR="00051C00">
        <w:rPr>
          <w:sz w:val="24"/>
          <w:szCs w:val="24"/>
        </w:rPr>
        <w:t xml:space="preserve"> permettant de réduire de manière très significative les besoins en eau pour les opérations de nettoyage pour un coût raisonnable (entre 15 et 30 k€). Il conviendra de valider sur le terrain l’efficacité de cette option. </w:t>
      </w:r>
    </w:p>
    <w:p w14:paraId="0D738E25" w14:textId="3EABCC86" w:rsidR="00051C00" w:rsidRDefault="00051C00" w:rsidP="007459A1">
      <w:pPr>
        <w:spacing w:after="0"/>
        <w:jc w:val="both"/>
        <w:rPr>
          <w:sz w:val="24"/>
          <w:szCs w:val="24"/>
        </w:rPr>
      </w:pPr>
    </w:p>
    <w:p w14:paraId="5FD1FB02" w14:textId="52B71854" w:rsidR="00051C00" w:rsidRDefault="00051C00" w:rsidP="007459A1">
      <w:pPr>
        <w:spacing w:after="0"/>
        <w:jc w:val="both"/>
        <w:rPr>
          <w:sz w:val="24"/>
          <w:szCs w:val="24"/>
        </w:rPr>
      </w:pPr>
      <w:r>
        <w:rPr>
          <w:sz w:val="24"/>
          <w:szCs w:val="24"/>
        </w:rPr>
        <w:t xml:space="preserve">Tous ces aménagements permettraient de réduire certains flux de pollution entrant en station. Mais pas tous (Fer par exemple). Concernant le traitement à la source des bains de dégraissage, il ne peut être envisagé qu’à long terme. </w:t>
      </w:r>
    </w:p>
    <w:p w14:paraId="552D3A56" w14:textId="4323DDB1" w:rsidR="000520E9" w:rsidRDefault="000520E9" w:rsidP="007459A1">
      <w:pPr>
        <w:spacing w:after="0"/>
        <w:jc w:val="both"/>
        <w:rPr>
          <w:sz w:val="24"/>
          <w:szCs w:val="24"/>
        </w:rPr>
      </w:pPr>
    </w:p>
    <w:p w14:paraId="51FCB115" w14:textId="2603991B" w:rsidR="000520E9" w:rsidRDefault="000520E9" w:rsidP="007459A1">
      <w:pPr>
        <w:spacing w:after="0"/>
        <w:jc w:val="both"/>
        <w:rPr>
          <w:sz w:val="24"/>
          <w:szCs w:val="24"/>
        </w:rPr>
      </w:pPr>
      <w:r>
        <w:rPr>
          <w:sz w:val="24"/>
          <w:szCs w:val="24"/>
        </w:rPr>
        <w:t>La gestion des effluents pourrait être améliorée par les actions suivantes :</w:t>
      </w:r>
    </w:p>
    <w:p w14:paraId="731575D9" w14:textId="5F644233" w:rsidR="000520E9" w:rsidRDefault="000520E9" w:rsidP="007459A1">
      <w:pPr>
        <w:pStyle w:val="Paragraphedeliste"/>
        <w:numPr>
          <w:ilvl w:val="0"/>
          <w:numId w:val="5"/>
        </w:numPr>
        <w:spacing w:after="0"/>
        <w:jc w:val="both"/>
        <w:rPr>
          <w:sz w:val="24"/>
          <w:szCs w:val="24"/>
        </w:rPr>
      </w:pPr>
      <w:r>
        <w:rPr>
          <w:sz w:val="24"/>
          <w:szCs w:val="24"/>
        </w:rPr>
        <w:t>Augmentation des capacités des cuves de stockages des rinçages (alcalins 25 m</w:t>
      </w:r>
      <w:r w:rsidRPr="000520E9">
        <w:rPr>
          <w:sz w:val="24"/>
          <w:szCs w:val="24"/>
          <w:vertAlign w:val="superscript"/>
        </w:rPr>
        <w:t>3</w:t>
      </w:r>
      <w:r>
        <w:rPr>
          <w:sz w:val="24"/>
          <w:szCs w:val="24"/>
        </w:rPr>
        <w:t xml:space="preserve"> et acides 40 m</w:t>
      </w:r>
      <w:r w:rsidRPr="000520E9">
        <w:rPr>
          <w:sz w:val="24"/>
          <w:szCs w:val="24"/>
          <w:vertAlign w:val="superscript"/>
        </w:rPr>
        <w:t>3</w:t>
      </w:r>
      <w:r>
        <w:rPr>
          <w:sz w:val="24"/>
          <w:szCs w:val="24"/>
        </w:rPr>
        <w:t xml:space="preserve"> au lieu de 15 m</w:t>
      </w:r>
      <w:r w:rsidRPr="000520E9">
        <w:rPr>
          <w:sz w:val="24"/>
          <w:szCs w:val="24"/>
          <w:vertAlign w:val="superscript"/>
        </w:rPr>
        <w:t>3</w:t>
      </w:r>
      <w:r>
        <w:rPr>
          <w:sz w:val="24"/>
          <w:szCs w:val="24"/>
        </w:rPr>
        <w:t xml:space="preserve">). Il faudra néanmoins vérifier la place nécessaire et l’emplacement (poids maximum) pour l’implantation, </w:t>
      </w:r>
    </w:p>
    <w:p w14:paraId="244C7DC3" w14:textId="153874FF" w:rsidR="000520E9" w:rsidRDefault="000520E9" w:rsidP="007459A1">
      <w:pPr>
        <w:pStyle w:val="Paragraphedeliste"/>
        <w:numPr>
          <w:ilvl w:val="0"/>
          <w:numId w:val="5"/>
        </w:numPr>
        <w:spacing w:after="0"/>
        <w:jc w:val="both"/>
        <w:rPr>
          <w:sz w:val="24"/>
          <w:szCs w:val="24"/>
        </w:rPr>
      </w:pPr>
      <w:r>
        <w:rPr>
          <w:sz w:val="24"/>
          <w:szCs w:val="24"/>
        </w:rPr>
        <w:t>Afin d’assurer une homogénéisation suffisante, le niveau haut devrait être présent en permanence ce qui implique une gestion rigoureuse des vidanges des rinçages,</w:t>
      </w:r>
    </w:p>
    <w:p w14:paraId="231B5105" w14:textId="1ED3B683" w:rsidR="000520E9" w:rsidRDefault="000520E9" w:rsidP="007459A1">
      <w:pPr>
        <w:pStyle w:val="Paragraphedeliste"/>
        <w:numPr>
          <w:ilvl w:val="0"/>
          <w:numId w:val="5"/>
        </w:numPr>
        <w:spacing w:after="0"/>
        <w:jc w:val="both"/>
        <w:rPr>
          <w:sz w:val="24"/>
          <w:szCs w:val="24"/>
        </w:rPr>
      </w:pPr>
      <w:r>
        <w:rPr>
          <w:sz w:val="24"/>
          <w:szCs w:val="24"/>
        </w:rPr>
        <w:t>Augmentation de la capacité de stockage des bains usés alcalins (au moins 10 m</w:t>
      </w:r>
      <w:r w:rsidRPr="00DF32EF">
        <w:rPr>
          <w:sz w:val="24"/>
          <w:szCs w:val="24"/>
          <w:vertAlign w:val="superscript"/>
        </w:rPr>
        <w:t>3</w:t>
      </w:r>
      <w:r>
        <w:rPr>
          <w:sz w:val="24"/>
          <w:szCs w:val="24"/>
        </w:rPr>
        <w:t xml:space="preserve">). Ceci permettrait de vidanger les plus grands bains. </w:t>
      </w:r>
    </w:p>
    <w:p w14:paraId="3B0D7C35" w14:textId="5959A7C0" w:rsidR="000520E9" w:rsidRDefault="000520E9" w:rsidP="007459A1">
      <w:pPr>
        <w:spacing w:after="0"/>
        <w:jc w:val="both"/>
        <w:rPr>
          <w:sz w:val="24"/>
          <w:szCs w:val="24"/>
        </w:rPr>
      </w:pPr>
    </w:p>
    <w:p w14:paraId="5F85457E" w14:textId="2F61F67D" w:rsidR="000520E9" w:rsidRPr="000520E9" w:rsidRDefault="000520E9" w:rsidP="007459A1">
      <w:pPr>
        <w:spacing w:after="0"/>
        <w:jc w:val="both"/>
        <w:rPr>
          <w:b/>
          <w:bCs/>
          <w:sz w:val="24"/>
          <w:szCs w:val="24"/>
          <w:u w:val="single"/>
        </w:rPr>
      </w:pPr>
      <w:r w:rsidRPr="000520E9">
        <w:rPr>
          <w:b/>
          <w:bCs/>
          <w:sz w:val="24"/>
          <w:szCs w:val="24"/>
          <w:u w:val="single"/>
        </w:rPr>
        <w:t>Recherche de solutions d’aménagement de l’ouvrage épuratoire avec étude de l’impact économique :</w:t>
      </w:r>
    </w:p>
    <w:p w14:paraId="5C39F618" w14:textId="36A2EB02" w:rsidR="000520E9" w:rsidRDefault="000520E9" w:rsidP="007459A1">
      <w:pPr>
        <w:spacing w:after="0"/>
        <w:jc w:val="both"/>
        <w:rPr>
          <w:sz w:val="24"/>
          <w:szCs w:val="24"/>
        </w:rPr>
      </w:pPr>
    </w:p>
    <w:p w14:paraId="231E81F9" w14:textId="79A0FBAC" w:rsidR="000520E9" w:rsidRDefault="006729BB" w:rsidP="007459A1">
      <w:pPr>
        <w:spacing w:after="0"/>
        <w:jc w:val="both"/>
        <w:rPr>
          <w:sz w:val="24"/>
          <w:szCs w:val="24"/>
        </w:rPr>
      </w:pPr>
      <w:r>
        <w:rPr>
          <w:sz w:val="24"/>
          <w:szCs w:val="24"/>
        </w:rPr>
        <w:t>Afin d’améliorer le traitement des effluents, les aménagements suivants peuvent être envisagés :</w:t>
      </w:r>
    </w:p>
    <w:p w14:paraId="2FE3F144" w14:textId="49D525F0" w:rsidR="006729BB" w:rsidRDefault="006729BB" w:rsidP="007459A1">
      <w:pPr>
        <w:pStyle w:val="Paragraphedeliste"/>
        <w:numPr>
          <w:ilvl w:val="0"/>
          <w:numId w:val="6"/>
        </w:numPr>
        <w:spacing w:after="0"/>
        <w:jc w:val="both"/>
        <w:rPr>
          <w:sz w:val="24"/>
          <w:szCs w:val="24"/>
        </w:rPr>
      </w:pPr>
      <w:r>
        <w:rPr>
          <w:sz w:val="24"/>
          <w:szCs w:val="24"/>
        </w:rPr>
        <w:t xml:space="preserve">Aération par bullage du premier réacteur de neutralisation pour oxydation du fer, </w:t>
      </w:r>
    </w:p>
    <w:p w14:paraId="111D4D1E" w14:textId="5A5B3F74" w:rsidR="006729BB" w:rsidRDefault="006729BB" w:rsidP="007459A1">
      <w:pPr>
        <w:pStyle w:val="Paragraphedeliste"/>
        <w:numPr>
          <w:ilvl w:val="0"/>
          <w:numId w:val="6"/>
        </w:numPr>
        <w:spacing w:after="0"/>
        <w:jc w:val="both"/>
        <w:rPr>
          <w:sz w:val="24"/>
          <w:szCs w:val="24"/>
        </w:rPr>
      </w:pPr>
      <w:r>
        <w:rPr>
          <w:sz w:val="24"/>
          <w:szCs w:val="24"/>
        </w:rPr>
        <w:t xml:space="preserve">Augmentation du pH dans le deuxième réacteur de neutralisation aux alentours de 11 pour améliorer la précipitation du nickel, </w:t>
      </w:r>
    </w:p>
    <w:p w14:paraId="3E502860" w14:textId="5975DCA9" w:rsidR="006729BB" w:rsidRDefault="006729BB" w:rsidP="007459A1">
      <w:pPr>
        <w:pStyle w:val="Paragraphedeliste"/>
        <w:numPr>
          <w:ilvl w:val="0"/>
          <w:numId w:val="6"/>
        </w:numPr>
        <w:spacing w:after="0"/>
        <w:jc w:val="both"/>
        <w:rPr>
          <w:sz w:val="24"/>
          <w:szCs w:val="24"/>
        </w:rPr>
      </w:pPr>
      <w:r>
        <w:rPr>
          <w:sz w:val="24"/>
          <w:szCs w:val="24"/>
        </w:rPr>
        <w:t xml:space="preserve">Pas d’aménagement pour le chrome hexavalent peu de bains concernés et la substitution est en phase d’étude, </w:t>
      </w:r>
    </w:p>
    <w:p w14:paraId="2C34988A" w14:textId="1B6D2A10" w:rsidR="006729BB" w:rsidRDefault="006729BB" w:rsidP="007459A1">
      <w:pPr>
        <w:pStyle w:val="Paragraphedeliste"/>
        <w:numPr>
          <w:ilvl w:val="0"/>
          <w:numId w:val="6"/>
        </w:numPr>
        <w:spacing w:after="0"/>
        <w:jc w:val="both"/>
        <w:rPr>
          <w:sz w:val="24"/>
          <w:szCs w:val="24"/>
        </w:rPr>
      </w:pPr>
      <w:r>
        <w:rPr>
          <w:sz w:val="24"/>
          <w:szCs w:val="24"/>
        </w:rPr>
        <w:t>Le traitement des nitrites est actuellement assuré par le passage dans des réacteurs avec ajout d’eau de javel. A voir avec l’automatisation de la ligne de brunissage si le traitement actuel est suffisant</w:t>
      </w:r>
      <w:r w:rsidR="007459A1">
        <w:rPr>
          <w:sz w:val="24"/>
          <w:szCs w:val="24"/>
        </w:rPr>
        <w:t>,</w:t>
      </w:r>
    </w:p>
    <w:p w14:paraId="624DAF43" w14:textId="51F25413" w:rsidR="00F03631" w:rsidRDefault="00F03631" w:rsidP="007459A1">
      <w:pPr>
        <w:pStyle w:val="Paragraphedeliste"/>
        <w:numPr>
          <w:ilvl w:val="0"/>
          <w:numId w:val="6"/>
        </w:numPr>
        <w:spacing w:after="0"/>
        <w:jc w:val="both"/>
        <w:rPr>
          <w:sz w:val="24"/>
          <w:szCs w:val="24"/>
        </w:rPr>
      </w:pPr>
      <w:r>
        <w:rPr>
          <w:sz w:val="24"/>
          <w:szCs w:val="24"/>
        </w:rPr>
        <w:t xml:space="preserve">Pour le traitement du nickel (provenant de 2 sources bains de zinc nickel et bain de nickel brillant), une filière de traitement spécifique pourrait être envisagée mais les complexes de zinc nickel seraient peut-être moins bien traités, </w:t>
      </w:r>
    </w:p>
    <w:p w14:paraId="12F6CFD4" w14:textId="5360C2C3" w:rsidR="00F03631" w:rsidRDefault="00F03631" w:rsidP="007459A1">
      <w:pPr>
        <w:pStyle w:val="Paragraphedeliste"/>
        <w:numPr>
          <w:ilvl w:val="0"/>
          <w:numId w:val="6"/>
        </w:numPr>
        <w:spacing w:after="0"/>
        <w:jc w:val="both"/>
        <w:rPr>
          <w:sz w:val="24"/>
          <w:szCs w:val="24"/>
        </w:rPr>
      </w:pPr>
      <w:r>
        <w:rPr>
          <w:sz w:val="24"/>
          <w:szCs w:val="24"/>
        </w:rPr>
        <w:t xml:space="preserve">Pour le traitement spécifique des bains de zinc nickel, 2 solutions sont envisageables l’évapoconcentration ou l’oxydation avancée. La première solution est très onéreuse (investissement 500 k€ et coût d’exploitation 250 k€/an). La 2° solution </w:t>
      </w:r>
      <w:r w:rsidR="007E7AB9">
        <w:rPr>
          <w:sz w:val="24"/>
          <w:szCs w:val="24"/>
        </w:rPr>
        <w:t>avec oxydation à l’ozone a été testée et semble donner des résultats prometteurs. Néanmoins le coût d’investissement reste substantiel (environ 400 k€</w:t>
      </w:r>
      <w:r w:rsidR="007459A1">
        <w:rPr>
          <w:sz w:val="24"/>
          <w:szCs w:val="24"/>
        </w:rPr>
        <w:t>,</w:t>
      </w:r>
      <w:r w:rsidR="007E7AB9">
        <w:rPr>
          <w:sz w:val="24"/>
          <w:szCs w:val="24"/>
        </w:rPr>
        <w:t xml:space="preserve"> coût d’exploitation 60 k€). Une autre filière physicochimique spécifique au nickel peut</w:t>
      </w:r>
      <w:r w:rsidR="007459A1">
        <w:rPr>
          <w:sz w:val="24"/>
          <w:szCs w:val="24"/>
        </w:rPr>
        <w:t xml:space="preserve"> </w:t>
      </w:r>
      <w:r w:rsidR="007E7AB9">
        <w:rPr>
          <w:sz w:val="24"/>
          <w:szCs w:val="24"/>
        </w:rPr>
        <w:t xml:space="preserve">également </w:t>
      </w:r>
      <w:r w:rsidR="007459A1">
        <w:rPr>
          <w:sz w:val="24"/>
          <w:szCs w:val="24"/>
        </w:rPr>
        <w:t xml:space="preserve">être </w:t>
      </w:r>
      <w:r w:rsidR="007E7AB9">
        <w:rPr>
          <w:sz w:val="24"/>
          <w:szCs w:val="24"/>
        </w:rPr>
        <w:t xml:space="preserve">envisagée. </w:t>
      </w:r>
    </w:p>
    <w:p w14:paraId="64CAE340" w14:textId="3768E67C" w:rsidR="007E7AB9" w:rsidRDefault="007E7AB9" w:rsidP="007459A1">
      <w:pPr>
        <w:spacing w:after="0"/>
        <w:jc w:val="both"/>
        <w:rPr>
          <w:sz w:val="24"/>
          <w:szCs w:val="24"/>
        </w:rPr>
      </w:pPr>
    </w:p>
    <w:p w14:paraId="4E5EEC7A" w14:textId="000597EF" w:rsidR="007E7AB9" w:rsidRPr="007E7AB9" w:rsidRDefault="007E7AB9" w:rsidP="007459A1">
      <w:pPr>
        <w:spacing w:after="0"/>
        <w:jc w:val="both"/>
        <w:rPr>
          <w:sz w:val="24"/>
          <w:szCs w:val="24"/>
        </w:rPr>
      </w:pPr>
      <w:r>
        <w:rPr>
          <w:sz w:val="24"/>
          <w:szCs w:val="24"/>
        </w:rPr>
        <w:t xml:space="preserve">Concernant le traitement de la DCO, </w:t>
      </w:r>
      <w:r w:rsidR="00DF32EF">
        <w:rPr>
          <w:sz w:val="24"/>
          <w:szCs w:val="24"/>
        </w:rPr>
        <w:t xml:space="preserve">les </w:t>
      </w:r>
      <w:r>
        <w:rPr>
          <w:sz w:val="24"/>
          <w:szCs w:val="24"/>
        </w:rPr>
        <w:t xml:space="preserve">solutions </w:t>
      </w:r>
      <w:r w:rsidR="00DF32EF">
        <w:rPr>
          <w:sz w:val="24"/>
          <w:szCs w:val="24"/>
        </w:rPr>
        <w:t xml:space="preserve">suivantes </w:t>
      </w:r>
      <w:r>
        <w:rPr>
          <w:sz w:val="24"/>
          <w:szCs w:val="24"/>
        </w:rPr>
        <w:t>peuvent être envisagées :</w:t>
      </w:r>
    </w:p>
    <w:p w14:paraId="7EC9FD2D" w14:textId="421C9153" w:rsidR="006729BB" w:rsidRDefault="007E7AB9" w:rsidP="007459A1">
      <w:pPr>
        <w:pStyle w:val="Paragraphedeliste"/>
        <w:numPr>
          <w:ilvl w:val="0"/>
          <w:numId w:val="6"/>
        </w:numPr>
        <w:spacing w:after="0"/>
        <w:jc w:val="both"/>
        <w:rPr>
          <w:sz w:val="24"/>
          <w:szCs w:val="24"/>
        </w:rPr>
      </w:pPr>
      <w:r>
        <w:rPr>
          <w:sz w:val="24"/>
          <w:szCs w:val="24"/>
        </w:rPr>
        <w:t>E</w:t>
      </w:r>
      <w:r w:rsidR="006729BB">
        <w:rPr>
          <w:sz w:val="24"/>
          <w:szCs w:val="24"/>
        </w:rPr>
        <w:t>limination en centre</w:t>
      </w:r>
      <w:r w:rsidR="007459A1">
        <w:rPr>
          <w:sz w:val="24"/>
          <w:szCs w:val="24"/>
        </w:rPr>
        <w:t>.</w:t>
      </w:r>
      <w:r w:rsidR="006729BB">
        <w:rPr>
          <w:sz w:val="24"/>
          <w:szCs w:val="24"/>
        </w:rPr>
        <w:t xml:space="preserve"> Néanmoins cette solution est onéreuse et représente une immobilisation de surface pour le stockage des contenants. Or la place fait cruellement défaut dans nos ateliers. </w:t>
      </w:r>
    </w:p>
    <w:p w14:paraId="51D85FF2" w14:textId="2604A833" w:rsidR="006729BB" w:rsidRDefault="007E7AB9" w:rsidP="007459A1">
      <w:pPr>
        <w:pStyle w:val="Paragraphedeliste"/>
        <w:numPr>
          <w:ilvl w:val="0"/>
          <w:numId w:val="6"/>
        </w:numPr>
        <w:spacing w:after="0"/>
        <w:jc w:val="both"/>
        <w:rPr>
          <w:sz w:val="24"/>
          <w:szCs w:val="24"/>
        </w:rPr>
      </w:pPr>
      <w:r>
        <w:rPr>
          <w:sz w:val="24"/>
          <w:szCs w:val="24"/>
        </w:rPr>
        <w:t>Traitement</w:t>
      </w:r>
      <w:r w:rsidR="006729BB">
        <w:rPr>
          <w:sz w:val="24"/>
          <w:szCs w:val="24"/>
        </w:rPr>
        <w:t xml:space="preserve"> sur charbon actif</w:t>
      </w:r>
      <w:r>
        <w:rPr>
          <w:sz w:val="24"/>
          <w:szCs w:val="24"/>
        </w:rPr>
        <w:t xml:space="preserve">. </w:t>
      </w:r>
      <w:r w:rsidR="008F0C49">
        <w:rPr>
          <w:sz w:val="24"/>
          <w:szCs w:val="24"/>
        </w:rPr>
        <w:t>Néanmoins, les quantités à mettre en œuvre seraient très importante</w:t>
      </w:r>
      <w:r w:rsidR="007459A1">
        <w:rPr>
          <w:sz w:val="24"/>
          <w:szCs w:val="24"/>
        </w:rPr>
        <w:t>s</w:t>
      </w:r>
      <w:r w:rsidR="008F0C49">
        <w:rPr>
          <w:sz w:val="24"/>
          <w:szCs w:val="24"/>
        </w:rPr>
        <w:t xml:space="preserve"> (100 T/an) et représenteraient un coût d’exploitation très </w:t>
      </w:r>
      <w:r w:rsidR="007459A1">
        <w:rPr>
          <w:sz w:val="24"/>
          <w:szCs w:val="24"/>
        </w:rPr>
        <w:t>élevé</w:t>
      </w:r>
      <w:r w:rsidR="008F0C49">
        <w:rPr>
          <w:sz w:val="24"/>
          <w:szCs w:val="24"/>
        </w:rPr>
        <w:t xml:space="preserve"> (environ 500 k€/an), </w:t>
      </w:r>
    </w:p>
    <w:p w14:paraId="5D87481E" w14:textId="18057FCD" w:rsidR="008F0C49" w:rsidRDefault="007E7AB9" w:rsidP="007459A1">
      <w:pPr>
        <w:pStyle w:val="Paragraphedeliste"/>
        <w:numPr>
          <w:ilvl w:val="0"/>
          <w:numId w:val="6"/>
        </w:numPr>
        <w:spacing w:after="0"/>
        <w:jc w:val="both"/>
        <w:rPr>
          <w:sz w:val="24"/>
          <w:szCs w:val="24"/>
        </w:rPr>
      </w:pPr>
      <w:r>
        <w:rPr>
          <w:sz w:val="24"/>
          <w:szCs w:val="24"/>
        </w:rPr>
        <w:t>T</w:t>
      </w:r>
      <w:r w:rsidR="008F0C49">
        <w:rPr>
          <w:sz w:val="24"/>
          <w:szCs w:val="24"/>
        </w:rPr>
        <w:t xml:space="preserve">raitement de coagulation </w:t>
      </w:r>
      <w:r>
        <w:rPr>
          <w:sz w:val="24"/>
          <w:szCs w:val="24"/>
        </w:rPr>
        <w:t xml:space="preserve">dans le réacteur </w:t>
      </w:r>
      <w:r w:rsidR="008F0C49">
        <w:rPr>
          <w:sz w:val="24"/>
          <w:szCs w:val="24"/>
        </w:rPr>
        <w:t xml:space="preserve">de décyanuration couplé avec une phase de cassage acide. Il faut bien entendu vérifier en laboratoire la faisabilité du traitement et </w:t>
      </w:r>
      <w:r w:rsidR="007459A1">
        <w:rPr>
          <w:sz w:val="24"/>
          <w:szCs w:val="24"/>
        </w:rPr>
        <w:t xml:space="preserve">déterminer </w:t>
      </w:r>
      <w:r w:rsidR="008F0C49">
        <w:rPr>
          <w:sz w:val="24"/>
          <w:szCs w:val="24"/>
        </w:rPr>
        <w:t xml:space="preserve">le bon produit à utiliser. </w:t>
      </w:r>
    </w:p>
    <w:p w14:paraId="336257D1" w14:textId="0D81638C" w:rsidR="00F03631" w:rsidRDefault="00F03631" w:rsidP="007459A1">
      <w:pPr>
        <w:spacing w:after="0"/>
        <w:ind w:left="360"/>
        <w:jc w:val="both"/>
        <w:rPr>
          <w:sz w:val="24"/>
          <w:szCs w:val="24"/>
        </w:rPr>
      </w:pPr>
    </w:p>
    <w:p w14:paraId="37D4B260" w14:textId="2AC2BFB2" w:rsidR="007E7AB9" w:rsidRPr="007E7AB9" w:rsidRDefault="007E7AB9" w:rsidP="007459A1">
      <w:pPr>
        <w:spacing w:after="0"/>
        <w:ind w:left="360"/>
        <w:jc w:val="both"/>
        <w:rPr>
          <w:sz w:val="24"/>
          <w:szCs w:val="24"/>
        </w:rPr>
      </w:pPr>
      <w:r>
        <w:rPr>
          <w:sz w:val="24"/>
          <w:szCs w:val="24"/>
        </w:rPr>
        <w:t xml:space="preserve">Le recyclage d’une partie des effluents (environ 18%) dans les rinçages après dégraissage est également une solution à envisager. Le budget à prévoir devra être estimé par une entreprise spécialisée. </w:t>
      </w:r>
    </w:p>
    <w:p w14:paraId="40629DF8" w14:textId="0C40E310" w:rsidR="000520E9" w:rsidRDefault="000520E9" w:rsidP="007459A1">
      <w:pPr>
        <w:spacing w:after="0"/>
        <w:jc w:val="both"/>
        <w:rPr>
          <w:sz w:val="24"/>
          <w:szCs w:val="24"/>
        </w:rPr>
      </w:pPr>
    </w:p>
    <w:p w14:paraId="305396A9" w14:textId="72EA66CF" w:rsidR="007E7AB9" w:rsidRDefault="007E7AB9" w:rsidP="007459A1">
      <w:pPr>
        <w:spacing w:after="0"/>
        <w:jc w:val="both"/>
        <w:rPr>
          <w:sz w:val="24"/>
          <w:szCs w:val="24"/>
        </w:rPr>
      </w:pPr>
      <w:r>
        <w:rPr>
          <w:sz w:val="24"/>
          <w:szCs w:val="24"/>
        </w:rPr>
        <w:t>En synthèse :</w:t>
      </w:r>
    </w:p>
    <w:p w14:paraId="25771AAC" w14:textId="2C269BC8" w:rsidR="007E7AB9" w:rsidRDefault="007E7AB9" w:rsidP="007459A1">
      <w:pPr>
        <w:pStyle w:val="Paragraphedeliste"/>
        <w:numPr>
          <w:ilvl w:val="0"/>
          <w:numId w:val="7"/>
        </w:numPr>
        <w:spacing w:after="0"/>
        <w:jc w:val="both"/>
        <w:rPr>
          <w:sz w:val="24"/>
          <w:szCs w:val="24"/>
        </w:rPr>
      </w:pPr>
      <w:r>
        <w:rPr>
          <w:sz w:val="24"/>
          <w:szCs w:val="24"/>
        </w:rPr>
        <w:t xml:space="preserve">La récupération du réacteur de décyanuration pour réaliser une phase de cassage acide/coagulation semble une solution à tester. En effet, elle permettrait de diminuer fortement la DCO, d’oxyder les nitrites et le fer (en cas de substitution des chromes hexavalents, les effluents aides pourraient être rediriger vers ce réacteur), </w:t>
      </w:r>
    </w:p>
    <w:p w14:paraId="60330DCA" w14:textId="72B204E4" w:rsidR="007E7AB9" w:rsidRDefault="007E7AB9" w:rsidP="007459A1">
      <w:pPr>
        <w:pStyle w:val="Paragraphedeliste"/>
        <w:numPr>
          <w:ilvl w:val="0"/>
          <w:numId w:val="7"/>
        </w:numPr>
        <w:spacing w:after="0"/>
        <w:jc w:val="both"/>
        <w:rPr>
          <w:sz w:val="24"/>
          <w:szCs w:val="24"/>
        </w:rPr>
      </w:pPr>
      <w:r>
        <w:rPr>
          <w:sz w:val="24"/>
          <w:szCs w:val="24"/>
        </w:rPr>
        <w:t>Si l’oxydation du fer n’est pas suffisante, un bullage pourra être install</w:t>
      </w:r>
      <w:r w:rsidR="000B4E6A">
        <w:rPr>
          <w:sz w:val="24"/>
          <w:szCs w:val="24"/>
        </w:rPr>
        <w:t>é</w:t>
      </w:r>
      <w:r>
        <w:rPr>
          <w:sz w:val="24"/>
          <w:szCs w:val="24"/>
        </w:rPr>
        <w:t xml:space="preserve"> </w:t>
      </w:r>
      <w:r w:rsidR="000B4E6A">
        <w:rPr>
          <w:sz w:val="24"/>
          <w:szCs w:val="24"/>
        </w:rPr>
        <w:t>dans le 1° réacteur de neutralisation</w:t>
      </w:r>
      <w:r w:rsidR="00DF32EF">
        <w:rPr>
          <w:sz w:val="24"/>
          <w:szCs w:val="24"/>
        </w:rPr>
        <w:t>,</w:t>
      </w:r>
    </w:p>
    <w:p w14:paraId="483AAD5A" w14:textId="47D1B9E4" w:rsidR="000B4E6A" w:rsidRDefault="000B4E6A" w:rsidP="007459A1">
      <w:pPr>
        <w:pStyle w:val="Paragraphedeliste"/>
        <w:numPr>
          <w:ilvl w:val="0"/>
          <w:numId w:val="7"/>
        </w:numPr>
        <w:spacing w:after="0"/>
        <w:jc w:val="both"/>
        <w:rPr>
          <w:sz w:val="24"/>
          <w:szCs w:val="24"/>
        </w:rPr>
      </w:pPr>
      <w:r>
        <w:rPr>
          <w:sz w:val="24"/>
          <w:szCs w:val="24"/>
        </w:rPr>
        <w:t xml:space="preserve">Pour les effluents complexés de zinc nickel, des essais de précipitation pourraient définir l’opportunité ou non de mettre une filière spécifique, </w:t>
      </w:r>
    </w:p>
    <w:p w14:paraId="53D54727" w14:textId="5BB40E69" w:rsidR="000B4E6A" w:rsidRPr="007E7AB9" w:rsidRDefault="000B4E6A" w:rsidP="007459A1">
      <w:pPr>
        <w:pStyle w:val="Paragraphedeliste"/>
        <w:numPr>
          <w:ilvl w:val="0"/>
          <w:numId w:val="7"/>
        </w:numPr>
        <w:spacing w:after="0"/>
        <w:jc w:val="both"/>
        <w:rPr>
          <w:sz w:val="24"/>
          <w:szCs w:val="24"/>
        </w:rPr>
      </w:pPr>
      <w:r>
        <w:rPr>
          <w:sz w:val="24"/>
          <w:szCs w:val="24"/>
        </w:rPr>
        <w:t xml:space="preserve">Les essais d’ozonation catalytique supportée ont démontré le potentiel de cette technologie. Une étude approfondie d’implantation devra être menée si cette option est retenue. </w:t>
      </w:r>
    </w:p>
    <w:sectPr w:rsidR="000B4E6A" w:rsidRPr="007E7AB9" w:rsidSect="0044279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70757"/>
    <w:multiLevelType w:val="hybridMultilevel"/>
    <w:tmpl w:val="85F6B2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9563B7D"/>
    <w:multiLevelType w:val="hybridMultilevel"/>
    <w:tmpl w:val="D25A4A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A472BEF"/>
    <w:multiLevelType w:val="hybridMultilevel"/>
    <w:tmpl w:val="71DEC7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6AA1048"/>
    <w:multiLevelType w:val="hybridMultilevel"/>
    <w:tmpl w:val="B616F0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ED2747E"/>
    <w:multiLevelType w:val="hybridMultilevel"/>
    <w:tmpl w:val="C6040B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5466F2C"/>
    <w:multiLevelType w:val="hybridMultilevel"/>
    <w:tmpl w:val="54F0D5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99A5405"/>
    <w:multiLevelType w:val="hybridMultilevel"/>
    <w:tmpl w:val="06B8FD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4"/>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07C"/>
    <w:rsid w:val="00051C00"/>
    <w:rsid w:val="000520E9"/>
    <w:rsid w:val="00077401"/>
    <w:rsid w:val="000B4E6A"/>
    <w:rsid w:val="00111BAB"/>
    <w:rsid w:val="001442C4"/>
    <w:rsid w:val="00442790"/>
    <w:rsid w:val="00516874"/>
    <w:rsid w:val="0054407C"/>
    <w:rsid w:val="00556210"/>
    <w:rsid w:val="006729BB"/>
    <w:rsid w:val="006917DF"/>
    <w:rsid w:val="007459A1"/>
    <w:rsid w:val="007E0D73"/>
    <w:rsid w:val="007E7AB9"/>
    <w:rsid w:val="008F0C49"/>
    <w:rsid w:val="009A7F69"/>
    <w:rsid w:val="00A67B87"/>
    <w:rsid w:val="00BE6B15"/>
    <w:rsid w:val="00C643CE"/>
    <w:rsid w:val="00C820C2"/>
    <w:rsid w:val="00D242BA"/>
    <w:rsid w:val="00DF32EF"/>
    <w:rsid w:val="00EC6C40"/>
    <w:rsid w:val="00F03631"/>
    <w:rsid w:val="00FF44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45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42790"/>
    <w:pPr>
      <w:ind w:left="720"/>
      <w:contextualSpacing/>
    </w:pPr>
  </w:style>
  <w:style w:type="paragraph" w:styleId="Textedebulles">
    <w:name w:val="Balloon Text"/>
    <w:basedOn w:val="Normal"/>
    <w:link w:val="TextedebullesCar"/>
    <w:uiPriority w:val="99"/>
    <w:semiHidden/>
    <w:unhideWhenUsed/>
    <w:rsid w:val="007459A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459A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42790"/>
    <w:pPr>
      <w:ind w:left="720"/>
      <w:contextualSpacing/>
    </w:pPr>
  </w:style>
  <w:style w:type="paragraph" w:styleId="Textedebulles">
    <w:name w:val="Balloon Text"/>
    <w:basedOn w:val="Normal"/>
    <w:link w:val="TextedebullesCar"/>
    <w:uiPriority w:val="99"/>
    <w:semiHidden/>
    <w:unhideWhenUsed/>
    <w:rsid w:val="007459A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459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1617</Words>
  <Characters>8895</Characters>
  <Application>Microsoft Office Word</Application>
  <DocSecurity>4</DocSecurity>
  <Lines>74</Lines>
  <Paragraphs>20</Paragraphs>
  <ScaleCrop>false</ScaleCrop>
  <HeadingPairs>
    <vt:vector size="2" baseType="variant">
      <vt:variant>
        <vt:lpstr>Titre</vt:lpstr>
      </vt:variant>
      <vt:variant>
        <vt:i4>1</vt:i4>
      </vt:variant>
    </vt:vector>
  </HeadingPairs>
  <TitlesOfParts>
    <vt:vector size="1" baseType="lpstr">
      <vt:lpstr/>
    </vt:vector>
  </TitlesOfParts>
  <Company>AERMC</Company>
  <LinksUpToDate>false</LinksUpToDate>
  <CharactersWithSpaces>10492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Tardy</dc:creator>
  <cp:lastModifiedBy>FORT Valérie</cp:lastModifiedBy>
  <cp:revision>2</cp:revision>
  <cp:lastPrinted>2020-10-08T07:54:00Z</cp:lastPrinted>
  <dcterms:created xsi:type="dcterms:W3CDTF">2020-11-26T08:25:00Z</dcterms:created>
  <dcterms:modified xsi:type="dcterms:W3CDTF">2020-11-26T08:25:00Z</dcterms:modified>
</cp:coreProperties>
</file>